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47" w:rsidRPr="007F67CA" w:rsidRDefault="00FB6C47" w:rsidP="00FB6C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ГОСТ 9378-93</w:t>
      </w:r>
    </w:p>
    <w:p w:rsidR="00FB6C47" w:rsidRPr="007F67CA" w:rsidRDefault="00FB6C47" w:rsidP="00FB6C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(ИСО 2632-1-85,</w:t>
      </w:r>
      <w:proofErr w:type="gramEnd"/>
    </w:p>
    <w:p w:rsidR="00FB6C47" w:rsidRPr="007F67CA" w:rsidRDefault="00FB6C47" w:rsidP="00FB6C4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ИСО 2632-2-85)</w:t>
      </w:r>
      <w:proofErr w:type="gramEnd"/>
    </w:p>
    <w:p w:rsidR="00FB6C47" w:rsidRPr="007F67CA" w:rsidRDefault="00FB6C47" w:rsidP="00FB6C47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pacing w:val="50"/>
          <w:sz w:val="24"/>
          <w:szCs w:val="20"/>
        </w:rPr>
        <w:t>МЕЖГОСУДАРСТВЕННЫЙ СТАНДАРТ</w:t>
      </w:r>
    </w:p>
    <w:p w:rsidR="00FB6C47" w:rsidRPr="007F67CA" w:rsidRDefault="003457D7" w:rsidP="00FB6C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FB6C47" w:rsidRPr="003457D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0"/>
          </w:rPr>
          <w:t>ОБРАЗЦЫ ШЕ</w:t>
        </w:r>
        <w:bookmarkStart w:id="0" w:name="_GoBack"/>
        <w:bookmarkEnd w:id="0"/>
        <w:r w:rsidR="00FB6C47" w:rsidRPr="003457D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0"/>
          </w:rPr>
          <w:t>Р</w:t>
        </w:r>
        <w:r w:rsidR="00FB6C47" w:rsidRPr="003457D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0"/>
          </w:rPr>
          <w:t>ОХОВАТОСТИ</w:t>
        </w:r>
      </w:hyperlink>
      <w:r w:rsidR="00FB6C47"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t xml:space="preserve"> </w:t>
      </w:r>
      <w:r w:rsidR="00FB6C47"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  <w:br/>
        <w:t>ПОВЕРХНОСТИ (СРАВНЕНИЯ)</w:t>
      </w:r>
    </w:p>
    <w:p w:rsidR="00FB6C47" w:rsidRPr="007F67CA" w:rsidRDefault="00FB6C47" w:rsidP="00FB6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ТЕХНИЧЕСКИЕ УСЛОВИЯ</w:t>
      </w:r>
    </w:p>
    <w:p w:rsidR="00FB6C47" w:rsidRPr="007F67CA" w:rsidRDefault="00FB6C47" w:rsidP="00FB6C47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t xml:space="preserve">МЕЖГОСУДАРСТВЕННЫЙ СОВЕТ </w:t>
      </w: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br/>
        <w:t>ПО СТАНДАРТИЗАЦИИ, МЕТРОЛОГИИ И СЕРТИФИКАЦИИ</w:t>
      </w:r>
    </w:p>
    <w:p w:rsidR="00FB6C47" w:rsidRPr="007F67CA" w:rsidRDefault="00FB6C47" w:rsidP="00FB6C4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</w:rPr>
        <w:t>Минск</w:t>
      </w:r>
    </w:p>
    <w:p w:rsidR="00FB6C47" w:rsidRPr="007F67CA" w:rsidRDefault="00FB6C47" w:rsidP="00FB6C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Предисловие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1 </w:t>
      </w: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РАЗРАБОТАН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Российской Федерацией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ВНЕСЕН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Техническим секретариатом Межгосударственного Совета по стандартизации, метрологии и сертификации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 ПРИНЯТ Межгосударственным Советом по стандартизации, метрологии и сертификации (протокол № 4-93 от 21 октября 1993 г.)</w:t>
      </w:r>
    </w:p>
    <w:p w:rsidR="00FB6C47" w:rsidRPr="007F67CA" w:rsidRDefault="00FB6C47" w:rsidP="00FB6C47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За принятие проголосовали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6"/>
        <w:gridCol w:w="6475"/>
      </w:tblGrid>
      <w:tr w:rsidR="007F67CA" w:rsidRPr="007F67CA" w:rsidTr="00FB6C47">
        <w:trPr>
          <w:tblHeader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Наименование государства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Наименование национального органа по стандартизации</w:t>
            </w:r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Республика Азербайджан</w:t>
            </w:r>
          </w:p>
        </w:tc>
        <w:tc>
          <w:tcPr>
            <w:tcW w:w="34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Азгосстандарт</w:t>
            </w:r>
            <w:proofErr w:type="spellEnd"/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Республика Армения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Армгосстандарт</w:t>
            </w:r>
            <w:proofErr w:type="spellEnd"/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Республика Белоруссия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Белстандарт</w:t>
            </w:r>
            <w:proofErr w:type="spellEnd"/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Республика Казахстан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Госстандарт Республики Казахстан</w:t>
            </w:r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Киргизская Республика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Киргизстандарт</w:t>
            </w:r>
            <w:proofErr w:type="spellEnd"/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Республика Молдова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Молдовастандарт</w:t>
            </w:r>
            <w:proofErr w:type="spellEnd"/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Российская Федерация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Госстандарт России</w:t>
            </w:r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Республика Таджикистан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left="257" w:firstLine="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Туркменистан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Туркменглавгосинспекция</w:t>
            </w:r>
            <w:proofErr w:type="spellEnd"/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Республика Узбекистан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Узгосстандарт</w:t>
            </w:r>
            <w:proofErr w:type="spellEnd"/>
          </w:p>
        </w:tc>
      </w:tr>
      <w:tr w:rsidR="007F67CA" w:rsidRPr="007F67CA" w:rsidTr="00FB6C47">
        <w:trPr>
          <w:jc w:val="center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Украина</w:t>
            </w:r>
          </w:p>
        </w:tc>
        <w:tc>
          <w:tcPr>
            <w:tcW w:w="3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Госстандарт Украины</w:t>
            </w:r>
          </w:p>
        </w:tc>
      </w:tr>
    </w:tbl>
    <w:p w:rsidR="00FB6C47" w:rsidRPr="007F67CA" w:rsidRDefault="00FB6C47" w:rsidP="00FB6C47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Настоящий стандарт представляет собой полный аутентичный текст ИСО 2632-1-85 "Образцы шероховатости сравнения. Часть 1: поверхности, получаемые обтачиванием, шлифованием, растачиванием, фрезерованием и строганием" и ИСО 2632-2-85 "Образцы шероховатости сравнения. Часть 2: поверхности, получаемые электроэрозионной, дробеструйной, пескоструйной обработкой и полированием" и содержит дополнительные требования, отражающие потребности экономики страны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lastRenderedPageBreak/>
        <w:t>3 Постановлением Комитета Российской Федерации по стандартизации, метрологии и сертификации от 7 февраля 1996 г. № 54 межгосударственный стандарт ГОСТ 9378-93 (ИСО 2632-1-85 и ИСО 2632-2-85) введен в действие непосредственно в качестве государственного стандарта Российской Федерации с 1 января 1997 г.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4 ВЗАМЕН ГОСТ 9378-75</w:t>
      </w:r>
    </w:p>
    <w:p w:rsidR="00FB6C47" w:rsidRPr="007F67CA" w:rsidRDefault="00FB6C47" w:rsidP="00FB6C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F67CA" w:rsidRPr="007F67CA" w:rsidTr="00FB6C47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C47" w:rsidRPr="007F67CA" w:rsidRDefault="00FB6C47" w:rsidP="00FB6C47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7F67C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бласть применения</w:t>
            </w:r>
          </w:p>
          <w:p w:rsidR="00FB6C47" w:rsidRPr="007F67CA" w:rsidRDefault="00FB6C47" w:rsidP="00FB6C47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7F67C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н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ормативные ссылки</w:t>
            </w:r>
          </w:p>
          <w:p w:rsidR="00FB6C47" w:rsidRPr="007F67CA" w:rsidRDefault="00FB6C47" w:rsidP="00FB6C47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7F67C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пределения</w:t>
            </w:r>
          </w:p>
          <w:p w:rsidR="00FB6C47" w:rsidRPr="007F67CA" w:rsidRDefault="00FB6C47" w:rsidP="00FB6C47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7F67C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лассификация, основные параметры и размеры</w:t>
            </w:r>
          </w:p>
          <w:p w:rsidR="00FB6C47" w:rsidRPr="007F67CA" w:rsidRDefault="00FB6C47" w:rsidP="00FB6C47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7F67C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бщие технические требования</w:t>
            </w:r>
          </w:p>
          <w:p w:rsidR="00FB6C47" w:rsidRPr="007F67CA" w:rsidRDefault="00FB6C47" w:rsidP="00FB6C47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7F67C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м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етоды контроля образцов</w:t>
            </w:r>
          </w:p>
          <w:p w:rsidR="00FB6C47" w:rsidRPr="007F67CA" w:rsidRDefault="00FB6C47" w:rsidP="00FB6C47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7F67C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п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равила приемки</w:t>
            </w:r>
          </w:p>
          <w:p w:rsidR="00FB6C47" w:rsidRPr="007F67CA" w:rsidRDefault="00FB6C47" w:rsidP="00FB6C47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7F67C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ранспортирование и хранение</w:t>
            </w:r>
          </w:p>
          <w:p w:rsidR="00FB6C47" w:rsidRPr="007F67CA" w:rsidRDefault="00FB6C47" w:rsidP="00FB6C47">
            <w:pPr>
              <w:tabs>
                <w:tab w:val="right" w:leader="dot" w:pos="9071"/>
              </w:tabs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7F67CA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г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арантии изготовителя</w:t>
            </w:r>
          </w:p>
        </w:tc>
      </w:tr>
    </w:tbl>
    <w:p w:rsidR="00FB6C47" w:rsidRPr="007F67CA" w:rsidRDefault="00FB6C47" w:rsidP="00FB6C47">
      <w:pPr>
        <w:spacing w:before="120" w:after="100" w:afterAutospacing="1" w:line="240" w:lineRule="auto"/>
        <w:ind w:firstLine="719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ГОСТ 9378-93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71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(ИСО 2632-1-85,</w:t>
      </w:r>
      <w:proofErr w:type="gramEnd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71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ИСО 2632-2-85)</w:t>
      </w:r>
      <w:proofErr w:type="gramEnd"/>
    </w:p>
    <w:p w:rsidR="00FB6C47" w:rsidRPr="007F67CA" w:rsidRDefault="00FB6C47" w:rsidP="00FB6C47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pacing w:val="50"/>
          <w:sz w:val="24"/>
          <w:szCs w:val="16"/>
        </w:rPr>
        <w:t>МЕЖГОСУДАРСТВЕННЫЙ СТАНДАРТ</w:t>
      </w:r>
    </w:p>
    <w:p w:rsidR="00FB6C47" w:rsidRPr="007F67CA" w:rsidRDefault="00FB6C47" w:rsidP="00FB6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</w:rPr>
        <w:t>ОБРАЗЦЫ ШЕРОХОВАТОСТИ ПОВЕРХНОСТИ (СРАВНЕНИЯ)</w:t>
      </w:r>
    </w:p>
    <w:p w:rsidR="00FB6C47" w:rsidRPr="007F67CA" w:rsidRDefault="00FB6C47" w:rsidP="00FB6C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</w:rPr>
        <w:t>Общие</w:t>
      </w: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val="en-US"/>
        </w:rPr>
        <w:t xml:space="preserve"> </w:t>
      </w: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</w:rPr>
        <w:t>технические</w:t>
      </w: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  <w:lang w:val="en-US"/>
        </w:rPr>
        <w:t xml:space="preserve"> </w:t>
      </w: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</w:rPr>
        <w:t>условия</w:t>
      </w:r>
    </w:p>
    <w:p w:rsidR="00FB6C47" w:rsidRPr="007F67CA" w:rsidRDefault="00FB6C47" w:rsidP="00FB6C47">
      <w:pPr>
        <w:pBdr>
          <w:bottom w:val="single" w:sz="4" w:space="1" w:color="auto"/>
        </w:pBd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t>Roughness comparison specimens.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t xml:space="preserve">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br/>
        <w:t>General specifications</w:t>
      </w:r>
    </w:p>
    <w:p w:rsidR="00FB6C47" w:rsidRPr="007F67CA" w:rsidRDefault="00FB6C47" w:rsidP="00FB6C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6"/>
        </w:rPr>
        <w:t>Дата введения 1997-01-01</w:t>
      </w:r>
    </w:p>
    <w:p w:rsidR="00FB6C47" w:rsidRPr="007F67CA" w:rsidRDefault="00FB6C47" w:rsidP="00FB6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1" w:name="i16359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1 ОБЛАСТЬ ПРИМЕНЕНИЯ</w:t>
      </w:r>
      <w:bookmarkEnd w:id="1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Настоящий стандарт распространяется на образцы шероховатости поверхности (сравнения), предназначенные для сравнения визуально и на ощупь с поверхностями изделий, полученными обработкой резанием, полированием, электроэрозионной, дробеструйной и пескоструйной обработкой.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2" w:name="i26735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2 НОРМАТИВНЫЕ ССЫЛКИ</w:t>
      </w:r>
      <w:bookmarkEnd w:id="2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 настоящем стандарте использованы ссылки на следующие стандарты: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ГОСТ 2.601-95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ЕСКД. Эксплуатационные документы</w:t>
      </w:r>
    </w:p>
    <w:p w:rsidR="00FB6C47" w:rsidRPr="007F67CA" w:rsidRDefault="0091651F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tooltip="Шероховатость поверхности. Параметры и характеристики" w:history="1">
        <w:r w:rsidR="00FB6C47" w:rsidRPr="007F67CA">
          <w:rPr>
            <w:rFonts w:ascii="Times New Roman" w:eastAsia="Times New Roman" w:hAnsi="Times New Roman" w:cs="Times New Roman"/>
            <w:color w:val="000000" w:themeColor="text1"/>
            <w:sz w:val="24"/>
          </w:rPr>
          <w:t>ГОСТ 2789-73</w:t>
        </w:r>
      </w:hyperlink>
      <w:r w:rsidR="00FB6C47"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Шероховатость поверхности. Параметры и характеристики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ГОСТ 13762-86 Средства измерений и контроля линейных и угловых размеров. Маркировка, упаковка, транспортирование и хранение,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МИ 1850-88 ГСИ Образцы шероховатости поверхности (сравнения). Методика поверки</w:t>
      </w:r>
    </w:p>
    <w:p w:rsidR="00FB6C47" w:rsidRPr="007F67CA" w:rsidRDefault="00FB6C47" w:rsidP="00FB6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3" w:name="i33874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3 ОПРЕДЕЛЕНИЯ</w:t>
      </w:r>
      <w:bookmarkEnd w:id="3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3.1 Образец шероховатости поверхности (сравнения) - образец поверхности с известными параметрами шероховатости, полученной определенным способом обработки.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3.2 Термины и определения параметров шероховатости - по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ГОС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Т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2789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4" w:name="i45961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4 КЛАССИФИКАЦИЯ, ОСНОВНЫЕ ПАРАМЕТРЫ И РАЗМЕРЫ</w:t>
      </w:r>
      <w:bookmarkEnd w:id="4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4.1 Способы обработки, воспроизводимые образцами, форма образца и основное направление неровностей поверхности образца должны соответствовать </w:t>
      </w: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указанным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в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таблице 1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B6C47" w:rsidRPr="007F67CA" w:rsidRDefault="00FB6C47" w:rsidP="00FB6C4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Таблица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3"/>
        <w:gridCol w:w="1948"/>
        <w:gridCol w:w="1593"/>
        <w:gridCol w:w="2233"/>
        <w:gridCol w:w="1574"/>
      </w:tblGrid>
      <w:tr w:rsidR="007F67CA" w:rsidRPr="007F67CA" w:rsidTr="00FB6C47">
        <w:trPr>
          <w:tblHeader/>
          <w:jc w:val="center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i52265"/>
            <w:bookmarkStart w:id="6" w:name="TO0000002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Способ обработки</w:t>
            </w:r>
            <w:bookmarkEnd w:id="5"/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Форма образца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Условное обозначение способа обработки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Расположение неровностей</w:t>
            </w:r>
          </w:p>
        </w:tc>
      </w:tr>
      <w:tr w:rsidR="007F67CA" w:rsidRPr="007F67CA" w:rsidTr="00FB6C4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Описание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Условное изображение</w:t>
            </w: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Точение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Цилиндрическая выпуклая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Т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Прямолинейное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0"/>
              </w:rPr>
              <w:drawing>
                <wp:inline distT="0" distB="0" distL="0" distR="0" wp14:anchorId="51AA9FE4" wp14:editId="19C4D11C">
                  <wp:extent cx="904875" cy="1314450"/>
                  <wp:effectExtent l="19050" t="0" r="9525" b="0"/>
                  <wp:docPr id="1" name="Рисунок 1" descr="http://www.docload.ru/Basesdoc/9/9283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cload.ru/Basesdoc/9/9283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Расточка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Цилиндрическая вогнутая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Фрезерование цилиндрическое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Плоская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ФЦ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Строгание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Плоская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Шлифование периферией круга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Плоская,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цилиндрическая выпуклая,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цилиндрическая вогнутая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ШЦВ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trHeight w:val="582"/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Точение торцовое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Плоская 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ТТ</w:t>
            </w:r>
            <w:proofErr w:type="gramEnd"/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Дугообразное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0"/>
              </w:rPr>
              <w:drawing>
                <wp:inline distT="0" distB="0" distL="0" distR="0" wp14:anchorId="2E96EC80" wp14:editId="6EFBAF5B">
                  <wp:extent cx="885825" cy="1114425"/>
                  <wp:effectExtent l="19050" t="0" r="9525" b="0"/>
                  <wp:docPr id="2" name="Рисунок 2" descr="http://www.docload.ru/Basesdoc/9/9283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cload.ru/Basesdoc/9/9283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7CA" w:rsidRPr="007F67CA" w:rsidTr="00FB6C47">
        <w:trPr>
          <w:trHeight w:val="582"/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lastRenderedPageBreak/>
              <w:t>Фрезерование торцовое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Плоская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ФТ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Фрезерование торцовое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Плоская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ФТП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Перекрещивающееся дугообразное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0"/>
              </w:rPr>
              <w:drawing>
                <wp:inline distT="0" distB="0" distL="0" distR="0" wp14:anchorId="4883337D" wp14:editId="6C5B1EF2">
                  <wp:extent cx="904875" cy="1104900"/>
                  <wp:effectExtent l="19050" t="0" r="9525" b="0"/>
                  <wp:docPr id="3" name="Рисунок 3" descr="http://www.docload.ru/Basesdoc/9/9283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cload.ru/Basesdoc/9/9283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Шлифование торцовое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Плоская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Шлифование чашеобразным кругом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Плоская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ШЧ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Электроэрозионная обработка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Плоская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 xml:space="preserve">Не </w:t>
            </w:r>
            <w:proofErr w:type="gram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имеющее</w:t>
            </w:r>
            <w:proofErr w:type="gramEnd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 xml:space="preserve"> определенного направления штриха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Дробеструйная, пескоструйная обработка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Плоская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</w:p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7CA" w:rsidRPr="007F67CA" w:rsidTr="00FB6C47">
        <w:trPr>
          <w:jc w:val="center"/>
        </w:trPr>
        <w:tc>
          <w:tcPr>
            <w:tcW w:w="11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Полирование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Плоская, цилиндрическая выпуклая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ПЦ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Путаный штрих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-</w:t>
            </w:r>
          </w:p>
        </w:tc>
      </w:tr>
    </w:tbl>
    <w:bookmarkEnd w:id="6"/>
    <w:p w:rsidR="00FB6C47" w:rsidRPr="007F67CA" w:rsidRDefault="00FB6C47" w:rsidP="00FB6C47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Примечание - Образцы шероховатости должны характеризовать особенности только воспроизводимого способа обработки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i64432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4.2 Ряды номинальных значений параметра шероховатости </w:t>
      </w:r>
      <w:bookmarkStart w:id="8" w:name="PO0000012"/>
      <w:bookmarkEnd w:id="7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>Ra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поверхности образца в зависимости от воспроизводимого способа обработки и базовые длины для оценки шероховатости должны соответствовать </w:t>
      </w: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указанным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в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таблице 2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bookmarkEnd w:id="8"/>
    <w:p w:rsidR="00FB6C47" w:rsidRPr="007F67CA" w:rsidRDefault="00FB6C47" w:rsidP="00FB6C47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Примечание - По требованию заказчика поверхность образца может дополнительно оцениваться параметрами шероховатости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t>R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vertAlign w:val="subscript"/>
          <w:lang w:val="en-US"/>
        </w:rPr>
        <w:t>Z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,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t>R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vertAlign w:val="subscript"/>
          <w:lang w:val="en-US"/>
        </w:rPr>
        <w:t>max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,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t>S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vertAlign w:val="subscript"/>
          <w:lang w:val="en-US"/>
        </w:rPr>
        <w:t>m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,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t>S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,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t>t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vertAlign w:val="subscript"/>
          <w:lang w:val="en-US"/>
        </w:rPr>
        <w:t>P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, значения которых не нормируются и приводятся как справочные по результатам измерений</w:t>
      </w:r>
    </w:p>
    <w:p w:rsidR="00FB6C47" w:rsidRPr="007F67CA" w:rsidRDefault="00FB6C47" w:rsidP="00FB6C47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Таблица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2"/>
        <w:gridCol w:w="3102"/>
        <w:gridCol w:w="3177"/>
      </w:tblGrid>
      <w:tr w:rsidR="007F67CA" w:rsidRPr="007F67CA" w:rsidTr="00FB6C47">
        <w:trPr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i78365"/>
            <w:bookmarkStart w:id="10" w:name="TO0000003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Способ обработки</w:t>
            </w:r>
            <w:bookmarkEnd w:id="9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Параметр шероховатости </w:t>
            </w: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Ra</w:t>
            </w:r>
            <w:proofErr w:type="spellEnd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, мкм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 xml:space="preserve">Базовая длина </w:t>
            </w:r>
            <w:r w:rsidRPr="007F67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14"/>
                <w:lang w:val="en-US"/>
              </w:rPr>
              <w:t>l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, мм</w:t>
            </w:r>
          </w:p>
        </w:tc>
      </w:tr>
      <w:tr w:rsidR="007F67CA" w:rsidRPr="007F67CA" w:rsidTr="00FB6C47">
        <w:trPr>
          <w:jc w:val="center"/>
        </w:trPr>
        <w:tc>
          <w:tcPr>
            <w:tcW w:w="16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Шлифование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0,050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0,25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0,100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0,25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0,200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0,25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0,400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0,80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0,800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0,80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1,600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0,80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3,200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2,50</w:t>
            </w:r>
          </w:p>
        </w:tc>
      </w:tr>
      <w:tr w:rsidR="007F67CA" w:rsidRPr="007F67CA" w:rsidTr="00FB6C47">
        <w:trPr>
          <w:jc w:val="center"/>
        </w:trPr>
        <w:tc>
          <w:tcPr>
            <w:tcW w:w="16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Точение и расточка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0,4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1,6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3,2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6,3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12,5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16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Фрезерование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0,4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1,6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3,2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6,3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8,0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12,5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8,0</w:t>
            </w:r>
          </w:p>
        </w:tc>
      </w:tr>
      <w:tr w:rsidR="007F67CA" w:rsidRPr="007F67CA" w:rsidTr="00FB6C47">
        <w:trPr>
          <w:jc w:val="center"/>
        </w:trPr>
        <w:tc>
          <w:tcPr>
            <w:tcW w:w="16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Строгание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1,6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3,2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6,3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12,5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8,0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25,0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8,0</w:t>
            </w:r>
          </w:p>
        </w:tc>
      </w:tr>
      <w:tr w:rsidR="007F67CA" w:rsidRPr="007F67CA" w:rsidTr="00FB6C47">
        <w:trPr>
          <w:jc w:val="center"/>
        </w:trPr>
        <w:tc>
          <w:tcPr>
            <w:tcW w:w="16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Электроэрозионная обработка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0,4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1,6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3,2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6,3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12,5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166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Дробеструйная и пескоструйная обработка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0,2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0,4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1,6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3,2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6,3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12,5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25,0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2,5</w:t>
            </w:r>
          </w:p>
        </w:tc>
      </w:tr>
      <w:tr w:rsidR="007F67CA" w:rsidRPr="007F67CA" w:rsidTr="00FB6C47">
        <w:trPr>
          <w:jc w:val="center"/>
        </w:trPr>
        <w:tc>
          <w:tcPr>
            <w:tcW w:w="166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Полирование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0,006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0,08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0,0125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0,08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0,025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0,08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0,050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0,25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0,100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0.25</w:t>
            </w:r>
          </w:p>
        </w:tc>
      </w:tr>
      <w:tr w:rsidR="007F67CA" w:rsidRPr="007F67CA" w:rsidTr="00FB6C4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0,200</w:t>
            </w:r>
          </w:p>
        </w:tc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4"/>
              </w:rPr>
              <w:t>0,80</w:t>
            </w:r>
          </w:p>
        </w:tc>
      </w:tr>
    </w:tbl>
    <w:bookmarkEnd w:id="10"/>
    <w:p w:rsidR="00FB6C47" w:rsidRPr="007F67CA" w:rsidRDefault="00FB6C47" w:rsidP="00FB6C47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Примечания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1 Средний шаг неровностей поверхности образца не должен превышать 1/3 базовой длины.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2 Приведенный в таблице ряд значений параметра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t>Ra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- предпочтительный. Допускается изготовление образцов с другими значениями параметра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Ra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по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ГОСТ 2789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с градацией не менее 2.</w:t>
      </w:r>
    </w:p>
    <w:p w:rsidR="00FB6C47" w:rsidRPr="007F67CA" w:rsidRDefault="00FB6C47" w:rsidP="00FB6C47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3 Малые значения параметра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Ra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(до 0,1 мкм) приведены, в основном, не для сравнения с поверхностями контролируемых деталей, а для того, чтобы дать представление пользователю о различиях между этими значениями (например, 0,006; 0,0125; 0,025; 0,05 и 0,1 мкм), которые могут быть отмечены визуально.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4.3 Ширина образцов сравнения должна быть не менее 20 мм. Длина образцов должна быть не менее: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- 20 мм при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Ra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от 0,025 до 12,5 мкм и базовой длине до 2,5 мм;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lastRenderedPageBreak/>
        <w:t xml:space="preserve">- 30 мм при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Ra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от 6,3 до 12,5 мкм и базовой длине 8 мм;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- 50 мм при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Ra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, равном 25 мкм.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Радиус кривизны цилиндрических образцов должен быть в пределах 20-40 мм.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4.4 Способы изготовления образцов Образцы могут изготовляться: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применением способа обработки, который должен воспроизвести образец;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гальванопластическим методом изготовления позитивных отпечатков с матриц;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изготовлением с матриц позитивных отпечатков, выполненных из пластмассы или других материалов и воспроизводящих на вид и на ощупь обработанную поверхность.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4.5 Условные обозначения образцов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В условном обозначении образца (или набора образцов) шероховатости указывают: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номинальное значение (или интервал значений для набора) параметра шероховатости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Ra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условное обозначение способа обработки (по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таблице 1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обозначение настоящего стандарта.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Например: </w:t>
      </w:r>
      <w:r w:rsidRPr="007F67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>Образец шероховатости 1,6 ШЧ ГОСТ 9378-93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или </w:t>
      </w:r>
      <w:r w:rsidRPr="007F67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>Набор образцов шероховатости 0,2-0,8 ШЦВ ГОСТ 9378-93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, где 1,6 и 0,2-0,8 - значения параметра шероховатости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Ra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; ШЧ - шлифование чашеобразным кругом; ШЦВ - шлифование периферией круга, форма образца цилиндрическая вогнутая.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11" w:name="i82259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5 ОБЩИЕ ТЕХНИЧЕСКИЕ ТРЕБОВАНИЯ</w:t>
      </w:r>
      <w:bookmarkEnd w:id="11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5.1 Образцы шероховатости поверхности должны быть изготовлены в соответствии с требованиями настоящего стандарта по конструкторской документации, утвержденной в установленном порядке.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i98511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5.2 Образцы шероховатости должны иметь одинаковый цвет и блеск на всей рабочей поверхности. Заметные невооруженным глазом трещины, забоины, сколы, раковины, следы коррозии, пористость и дробление, а также царапины, не исчезающие при изменении угла зрения, на рабочей поверхности образца не допускаются.</w:t>
      </w:r>
      <w:bookmarkEnd w:id="12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PO0000021"/>
      <w:bookmarkStart w:id="14" w:name="i106919"/>
      <w:bookmarkEnd w:id="13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5.3 Допускаемое отклонение среднего значения параметра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Ra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от номинального и допускаемое среднее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квадратическое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отклонение от среднего значения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Ra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должны соответствовать </w:t>
      </w: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указанным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в </w:t>
      </w:r>
      <w:bookmarkStart w:id="15" w:name="PO0000022"/>
      <w:bookmarkEnd w:id="14"/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таблице 3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bookmarkEnd w:id="15"/>
    <w:p w:rsidR="00FB6C47" w:rsidRPr="007F67CA" w:rsidRDefault="00FB6C47" w:rsidP="00FB6C4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Таблица 3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5"/>
        <w:gridCol w:w="2291"/>
        <w:gridCol w:w="3145"/>
      </w:tblGrid>
      <w:tr w:rsidR="007F67CA" w:rsidRPr="007F67CA" w:rsidTr="00FB6C47">
        <w:trPr>
          <w:tblHeader/>
          <w:jc w:val="center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i115302"/>
            <w:bookmarkStart w:id="17" w:name="TO0000004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lastRenderedPageBreak/>
              <w:t>Способ обработки</w:t>
            </w:r>
            <w:bookmarkEnd w:id="16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Допускаемое отклонение среднего значения </w:t>
            </w: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Ra</w:t>
            </w:r>
            <w:proofErr w:type="spellEnd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gram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от</w:t>
            </w:r>
            <w:proofErr w:type="gramEnd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 номинального, %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Допускаемое среднее </w:t>
            </w:r>
            <w:proofErr w:type="spellStart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квадратическое</w:t>
            </w:r>
            <w:proofErr w:type="spellEnd"/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 xml:space="preserve"> отклонение </w:t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sym w:font="Symbol" w:char="0073"/>
            </w: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,</w:t>
            </w:r>
          </w:p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%</w:t>
            </w:r>
          </w:p>
        </w:tc>
      </w:tr>
      <w:tr w:rsidR="007F67CA" w:rsidRPr="007F67CA" w:rsidTr="00FB6C47">
        <w:trPr>
          <w:jc w:val="center"/>
        </w:trPr>
        <w:tc>
          <w:tcPr>
            <w:tcW w:w="21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Шлифование</w:t>
            </w:r>
          </w:p>
        </w:tc>
        <w:tc>
          <w:tcPr>
            <w:tcW w:w="121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+12</w:t>
            </w:r>
          </w:p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-17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9</w:t>
            </w:r>
          </w:p>
        </w:tc>
      </w:tr>
      <w:tr w:rsidR="007F67CA" w:rsidRPr="007F67CA" w:rsidTr="00FB6C47">
        <w:trPr>
          <w:jc w:val="center"/>
        </w:trPr>
        <w:tc>
          <w:tcPr>
            <w:tcW w:w="21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Точение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4</w:t>
            </w:r>
          </w:p>
        </w:tc>
      </w:tr>
      <w:tr w:rsidR="007F67CA" w:rsidRPr="007F67CA" w:rsidTr="00FB6C47">
        <w:trPr>
          <w:jc w:val="center"/>
        </w:trPr>
        <w:tc>
          <w:tcPr>
            <w:tcW w:w="21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Расточка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4</w:t>
            </w:r>
          </w:p>
        </w:tc>
      </w:tr>
      <w:tr w:rsidR="007F67CA" w:rsidRPr="007F67CA" w:rsidTr="00FB6C47">
        <w:trPr>
          <w:jc w:val="center"/>
        </w:trPr>
        <w:tc>
          <w:tcPr>
            <w:tcW w:w="21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Фрезерование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9</w:t>
            </w:r>
          </w:p>
        </w:tc>
      </w:tr>
      <w:tr w:rsidR="007F67CA" w:rsidRPr="007F67CA" w:rsidTr="00FB6C47">
        <w:trPr>
          <w:jc w:val="center"/>
        </w:trPr>
        <w:tc>
          <w:tcPr>
            <w:tcW w:w="21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Строгание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3</w:t>
            </w:r>
          </w:p>
        </w:tc>
      </w:tr>
      <w:tr w:rsidR="007F67CA" w:rsidRPr="007F67CA" w:rsidTr="00FB6C47">
        <w:trPr>
          <w:jc w:val="center"/>
        </w:trPr>
        <w:tc>
          <w:tcPr>
            <w:tcW w:w="21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Электроэрозионная обработка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12</w:t>
            </w:r>
          </w:p>
        </w:tc>
      </w:tr>
      <w:tr w:rsidR="007F67CA" w:rsidRPr="007F67CA" w:rsidTr="00FB6C47">
        <w:trPr>
          <w:jc w:val="center"/>
        </w:trPr>
        <w:tc>
          <w:tcPr>
            <w:tcW w:w="21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Пескоструйная и дробеструйная обработка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12</w:t>
            </w:r>
          </w:p>
        </w:tc>
      </w:tr>
      <w:tr w:rsidR="007F67CA" w:rsidRPr="007F67CA" w:rsidTr="00FB6C47">
        <w:trPr>
          <w:jc w:val="center"/>
        </w:trPr>
        <w:tc>
          <w:tcPr>
            <w:tcW w:w="21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Полирование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47" w:rsidRPr="007F67CA" w:rsidRDefault="00FB6C47" w:rsidP="00FB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47" w:rsidRPr="007F67CA" w:rsidRDefault="00FB6C47" w:rsidP="00FB6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6"/>
              </w:rPr>
              <w:t>12</w:t>
            </w:r>
          </w:p>
        </w:tc>
      </w:tr>
    </w:tbl>
    <w:bookmarkEnd w:id="17"/>
    <w:p w:rsidR="00FB6C47" w:rsidRPr="007F67CA" w:rsidRDefault="00FB6C47" w:rsidP="00FB6C47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Примечание - Допускаемое среднее </w:t>
      </w:r>
      <w:proofErr w:type="spell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квадратическое</w:t>
      </w:r>
      <w:proofErr w:type="spell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отклонение указано для длины оценки, содержащей 5 базовых длин. Для другого количества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en-US"/>
        </w:rPr>
        <w:t>n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базовых длин в длине оценки отклонение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sym w:font="Symbol" w:char="0073"/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  <w:vertAlign w:val="subscript"/>
          <w:lang w:val="en-US"/>
        </w:rPr>
        <w:t>n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 xml:space="preserve"> определяют по формуле</w:t>
      </w:r>
    </w:p>
    <w:p w:rsidR="00FB6C47" w:rsidRPr="007F67CA" w:rsidRDefault="00FB6C47" w:rsidP="00FB6C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bscript"/>
        </w:rPr>
        <w:drawing>
          <wp:inline distT="0" distB="0" distL="0" distR="0" wp14:anchorId="7EBF1043" wp14:editId="02DFDF57">
            <wp:extent cx="742950" cy="438150"/>
            <wp:effectExtent l="0" t="0" r="0" b="0"/>
            <wp:docPr id="4" name="Рисунок 4" descr="http://www.docload.ru/Basesdoc/9/9283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load.ru/Basesdoc/9/9283/x0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5.4 Основное направление неровностей (см.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таблицу 1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 должно быть параллельно более короткой стороне образца.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8" w:name="i122015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5.5 Образцы должны быть размагничены.</w:t>
      </w:r>
      <w:bookmarkEnd w:id="18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9" w:name="PO0000024"/>
      <w:bookmarkEnd w:id="19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5.6 Комплектность образцов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Образцы шероховатости комплектуют наборами. К каждому набору образцов прилагают паспорт по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ГОСТ 2.601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, содержащий перечень образцов, входящих в набор, воспроизводимые способы обработки и значения параметров шероховатости, в том числе и дополнительных по требованию заказчика (см. примечание к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4.2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).</w:t>
      </w:r>
    </w:p>
    <w:p w:rsidR="00FB6C47" w:rsidRPr="007F67CA" w:rsidRDefault="00FB6C47" w:rsidP="00FB6C47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t>Примечание - Допускается поставка отдельных образцов шероховатости вне набора.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5.7 Маркировка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На футляре или оправе, в которые упакованы образцы шероховатости, должно быть нанесено: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1) на футляре: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слова "образцы шероховатости";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способ (или способы) обработки;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наименование и/или товарный знак предприятия-изготовителя;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заводской номер набора;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обозначение настоящего стандарта;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lastRenderedPageBreak/>
        <w:t>2) на оправе (или отдельном образце):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- номинальное значение параметра шероховатости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>Ra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(для каждого образца отдельно);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материал (материалы) деталей, для контроля которых предназначены образцы;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- способ обработки.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5.8 Упаковка образцов шероховатости - по ГОСТ 13762.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20" w:name="i132238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6 МЕТОДЫ КОНТРОЛЯ ОБРАЗЦОВ</w:t>
      </w:r>
      <w:bookmarkEnd w:id="20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Проверка образцов шероховатости - по МИ 1850.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21" w:name="i148640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7 ПРАВИЛА ПРИЕМКИ</w:t>
      </w:r>
      <w:bookmarkEnd w:id="21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7.1</w:t>
      </w: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Д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ля проверки соответствия образцов шероховатости поверхности требованиям настоящего стандарта проводят приемочный контроль и периодические испытания.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7.2</w:t>
      </w: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П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ри приемочном контроле каждый образец шероховатости должен быть проверен на соответствие требованиям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5.2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и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5.5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; на соответствие требованиям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5.3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проверяют выборочно. Объем выборки определяют по нормативно-технической документации, утвержденной в установленном порядке.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7.3</w:t>
      </w: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П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ри приемке образцы подвергаются следующим испытаниям: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7.3.1</w:t>
      </w: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П</w:t>
      </w:r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ри проверке влияния транспортной тряски используют ударный стенд, создающий тряску с ускорением 30 м/с при частоте 80-120 ударов в минуту.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Образцы в упаковке крепят к стенду и испытывают при общем числе ударов 15000. Допускается проводить испытания образцов транспортированием на грузовой машине со скоростью от 20 до 40 км/ч, на расстояние 100 км по грунтовой дороге.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После испытаний образцы по внешнему виду должны соответствовать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5.2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7.3.2 Воздействие климатических факторов внешней среды проверяют в климатических камерах. </w:t>
      </w:r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Испытания образцов в упаковке проводят в следующем режиме: сначала при температуре минус (50+3)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sym w:font="Symbol" w:char="00B0"/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С, а затем плюс (50±3)°С и далее при относительной влажности (95±3)% при температуре 35°С. Выдержка в климатической камере по каждому виду испытаний - не менее 2 ч. После испытаний образцы по внешнему виду должны соответствовать 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</w:rPr>
        <w:t>5.2</w:t>
      </w: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  <w:proofErr w:type="gramEnd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7.4 Периодические испытания на соответствие всем требованиям настоящего стандарта проводят не реже одного раза в три года, а для образцов, изготовленных гальванопластическим методом, - не реже одного раза в пять лет.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Если при испытаниях обнаружено, что изделие соответствует всем требованиям настоящего стандарта, результаты периодических испытаний считают удовлетворительными.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22" w:name="i155766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lastRenderedPageBreak/>
        <w:t>8 ТРАНСПОРТИРОВАНИЕ И ХРАНЕНИЕ</w:t>
      </w:r>
      <w:bookmarkEnd w:id="22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Транспортирование и хранение - по ГОСТ 13762.</w:t>
      </w:r>
    </w:p>
    <w:p w:rsidR="00FB6C47" w:rsidRPr="007F67CA" w:rsidRDefault="00FB6C47" w:rsidP="00FB6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bookmarkStart w:id="23" w:name="i168762"/>
      <w:r w:rsidRPr="007F67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9 ГАРАНТИИ ИЗГОТОВИТЕЛЯ</w:t>
      </w:r>
      <w:bookmarkEnd w:id="23"/>
    </w:p>
    <w:p w:rsidR="00FB6C47" w:rsidRPr="007F67CA" w:rsidRDefault="00FB6C47" w:rsidP="00FB6C4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9.1 Изготовитель гарантирует соответствие образцов шероховатости поверхности (сравнения) требованиям настоящего стандарта при соблюдении условий эксплуатации, транспортирования и хранения.</w:t>
      </w:r>
    </w:p>
    <w:p w:rsidR="00FB6C47" w:rsidRPr="007F67CA" w:rsidRDefault="00FB6C47" w:rsidP="00FB6C47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9.2 Гарантийный срок эксплуатации - 24 </w:t>
      </w:r>
      <w:proofErr w:type="spellStart"/>
      <w:proofErr w:type="gramStart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мес</w:t>
      </w:r>
      <w:proofErr w:type="spellEnd"/>
      <w:proofErr w:type="gramEnd"/>
      <w:r w:rsidRPr="007F67C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со дня ввода образцов в эксплуатацию.</w:t>
      </w:r>
    </w:p>
    <w:p w:rsidR="00430F57" w:rsidRPr="007F67CA" w:rsidRDefault="00430F57">
      <w:pPr>
        <w:rPr>
          <w:color w:val="000000" w:themeColor="text1"/>
        </w:rPr>
      </w:pPr>
    </w:p>
    <w:sectPr w:rsidR="00430F57" w:rsidRPr="007F67CA" w:rsidSect="0043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47"/>
    <w:rsid w:val="003457D7"/>
    <w:rsid w:val="00430F57"/>
    <w:rsid w:val="007F67CA"/>
    <w:rsid w:val="0091651F"/>
    <w:rsid w:val="00DF5715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FB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B6C47"/>
    <w:rPr>
      <w:color w:val="0000FF"/>
      <w:u w:val="single"/>
    </w:rPr>
  </w:style>
  <w:style w:type="paragraph" w:styleId="3">
    <w:name w:val="toc 3"/>
    <w:basedOn w:val="a"/>
    <w:autoRedefine/>
    <w:uiPriority w:val="39"/>
    <w:unhideWhenUsed/>
    <w:rsid w:val="00FB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4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4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FB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B6C47"/>
    <w:rPr>
      <w:color w:val="0000FF"/>
      <w:u w:val="single"/>
    </w:rPr>
  </w:style>
  <w:style w:type="paragraph" w:styleId="3">
    <w:name w:val="toc 3"/>
    <w:basedOn w:val="a"/>
    <w:autoRedefine/>
    <w:uiPriority w:val="39"/>
    <w:unhideWhenUsed/>
    <w:rsid w:val="00FB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4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4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8/8998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dentor.ru/obraztsy-sherokhovatosti.html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dcterms:created xsi:type="dcterms:W3CDTF">2014-02-26T15:24:00Z</dcterms:created>
  <dcterms:modified xsi:type="dcterms:W3CDTF">2014-02-26T15:24:00Z</dcterms:modified>
</cp:coreProperties>
</file>